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Упрощены правила принятия наследства участников специальной военной операции</w:t>
      </w:r>
    </w:p>
    <w:p w14:paraId="02000000">
      <w:pPr>
        <w:spacing w:after="0" w:line="240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color w:val="FFFFFF"/>
          <w:sz w:val="28"/>
          <w:shd w:fill="1E3685" w:val="clear"/>
        </w:rPr>
        <w:t xml:space="preserve"> 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bookmarkStart w:id="1" w:name="_GoBack"/>
      <w:bookmarkEnd w:id="1"/>
      <w:r>
        <w:rPr>
          <w:rFonts w:ascii="Times New Roman" w:hAnsi="Times New Roman"/>
          <w:color w:val="333333"/>
          <w:sz w:val="28"/>
        </w:rPr>
        <w:t>В соответствии со статьей 1113 Гражданского кодекса Российской Федерации (далее – ГК РФ) наследство открывается со смертью гражданина.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 силу статей 1154, 1155 ГК РФ наследство может быть принято в течение шести месяцев со дня открытия наследства. В случае его пропуска восстановить срок может суд по заявлению наследника, если наследник пропустил его по уважительной причине и обратился в суд в течение шести месяцев после того, как такие причины устранены.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На практике часто встречаются случаи, когда документы, извещающие о смерти участника специальной военной операции, приходят наследникам намного позже дня смерти, что может привести к пропуску срока принятия наследства.</w:t>
      </w:r>
    </w:p>
    <w:p w14:paraId="07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В таких случаях наследники вынуждены обращаться в суд с соответствующим заявлением о восстановлении срока принятия наследства.</w:t>
      </w:r>
    </w:p>
    <w:p w14:paraId="08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Федеральным законом от 24.06.2025 № 164-ФЗ внесены изменения в Федеральный закон 26.11.2001 № 147-ФЗ «О введении в действие части третьей Гражданского кодекса Российской Федерации», которые уточнили правила принятия наследства лиц, участвовавших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или в ходе вооруженной провокации на госгранице и приграничных территориях, а также граждан, проживавших или временно находившихся на указанных территориях.</w:t>
      </w:r>
    </w:p>
    <w:p w14:paraId="09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С 15 июля 2025 года срок принятия наследства указанных лиц исчисляется с даты составления записи акта гражданского состояния о смерти, если дата смерти неизвестна либо отличается от даты составления документа о смерти более чем на 3 месяца.</w:t>
      </w:r>
    </w:p>
    <w:p w14:paraId="0A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Принятое наследство признается принадлежащим наследнику со дня смерти наследодателя.</w:t>
      </w:r>
    </w:p>
    <w:p w14:paraId="0B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Указанные изменения применяются к ранее возникшим отношениям по наследованию при условии, что наследство открыто после 1 января 2025 года и позднее.</w:t>
      </w:r>
    </w:p>
    <w:p w14:paraId="0C000000">
      <w:pPr>
        <w:spacing w:after="0"/>
        <w:ind w:firstLine="709" w:left="0"/>
        <w:rPr>
          <w:rFonts w:ascii="Times New Roman" w:hAnsi="Times New Roman"/>
          <w:sz w:val="28"/>
        </w:rPr>
      </w:pPr>
    </w:p>
    <w:p w14:paraId="0D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E000000">
      <w:pPr>
        <w:spacing w:after="0"/>
        <w:ind w:firstLine="709" w:left="0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Normal (Web)"/>
    <w:basedOn w:val="Style_1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1_ch"/>
    <w:link w:val="Style_3"/>
    <w:rPr>
      <w:rFonts w:ascii="Times New Roman" w:hAnsi="Times New Roman"/>
      <w:sz w:val="24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feeds-page__navigation_icon"/>
    <w:basedOn w:val="Style_9"/>
    <w:link w:val="Style_11_ch"/>
  </w:style>
  <w:style w:styleId="Style_11_ch" w:type="character">
    <w:name w:val="feeds-page__navigation_icon"/>
    <w:basedOn w:val="Style_9_ch"/>
    <w:link w:val="Style_11"/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feeds-page__navigation_tooltip"/>
    <w:basedOn w:val="Style_9"/>
    <w:link w:val="Style_24_ch"/>
  </w:style>
  <w:style w:styleId="Style_24_ch" w:type="character">
    <w:name w:val="feeds-page__navigation_tooltip"/>
    <w:basedOn w:val="Style_9_ch"/>
    <w:link w:val="Style_24"/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2025-10-08T05:26:42Z</dcterms:modified>
</cp:coreProperties>
</file>